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SV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BILAGA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”BILAGA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INSTRUKTIONER FÖR RAPPORTERING AV KAPITALBAS OCH KAPITALBASKRAV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Innehållsförteckning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DEL 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ALLMÄNNA INSTRUKTIONER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 OCH PRAXIS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NUMRERING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TECKEN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DEL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MALLRELATERADE INSTRUKTIONER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KAPITALTÄCKNINGSÖVERSIKT (CA)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KAPITALBAS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KAPITALBASKRAV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– KAPITALRELATIONER OCH KAPITALNIVÅER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– MEMORANDUMPOSTER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ÖVERGÅNGSBESTÄMMELSER OCH INSTRUMENT FÖR VILKA ÄLDRE REGLER FÅR TILLÄMPAS: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 SOM INTE ÄR STATLIGT STÖD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ÖVERGÅNGSBESTÄMMELSER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– INSTRUMENT FÖR VILKA ÄLDRE REGLER FÅR TILLÄMPAS: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 SOM INTE ÄR STATLIGT STÖD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SOLVENS PÅ GRUPPNIVÅ: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INFORMATION OM NÄRSTÅENDE FÖRETAG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DETALJERADE UPPGIFTER OM GRUPPENS SOLVENS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UPPGIFTER OM HUR ENSKILDA ENHETER BIDRAR TILL GRUPPENS SOLVENS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SOLVENS PÅ GRUPPNIVÅ: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INFORMATION OM NÄRSTÅENDE FÖRETAG – SUMMA (GS 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SOLVENS PÅ GRUPPNIVÅ: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INFORMATION OM NÄRSTÅENDE FÖRETAG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KREDITRISKMALLAR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RAPPORTERING AV METODER FÖR KREDITRISKREDUCERING (CRM) MED SUBSTITUTIONSEFFEKT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RAPPORTERING AV MOTPARTSRISK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KREDITRISK OCH MOTPARTSRISK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TILLÄMPNING AV SCHABLONMETODEN PÅ KAPITALKRAV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SA-MALLENS RÄCKVIDD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INDELNING AV EXPONERINGAR I EXPONERINGSKLASSER ENLIGT SCHABLONMETODEN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FÖRTYDLIGANDEN OM RÄCKVIDDEN FÖR VISSA AV DE EXPONERINGSKLASSER SOM AVSES I ARTIKEL 112 I FÖRORDNING (EU) NR 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EXPONERINGSKLASSEN ”INSTITUT”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EXPONERINGSKLASSEN ”SÄKERSTÄLLDA OBLIGATIONER”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EXPONERINGSKLASSEN ”FÖRETAG FÖR KOLLEKTIVA INVESTERINGAR (FOND)”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KREDITRISK OCH MOTPARTSRISK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INTERNMETODEN FÖR KAPITALBASKRAV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IRB-MALLENS RÄCKVIDD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UPPDELNING AV CR IRB-MALLEN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KREDITRISK OCH MOTPARTSRISK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INTERNMETOD FÖR KAPITALKRAV: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UPPDELNING PER MOTPARTSRISKKLASS (MALL CR IRB 2)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INTERMETOD FÖR KAPITALKRAV (UPPDELNING PÅ PD-INTERVALL) (CR 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INTERMETOD FÖR KAPITALKRAV (FLÖDESANALYS FÖR RISKVÄGDA EXPONERINGSBELOPP (CR IRB 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INTERMETOD FÖR KAPITALKRAV (UTFALLSTEST FÖR PD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INTERNMETOD FÖR KAPITALKRAV: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UTFALLSTEST AV PD I ENLIGHET MED ARTIKEL 180.1 f I FÖRORDNING (EU) NR 575/2013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INTERMETOD FÖR KAPITALKRAV (KLASSIFICERINGSMETOD FÖR SPECIALUTLÅNING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– KREDITRISK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INTERMETOD FÖR KAPITALKRAV (RÄCKVIDD FÖR ANVÄNDNING AV INTERNMETODEN OCH SCHABLONMETODEN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KREDITRISK OCH MOTPARTSRISK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GEOGRAFISKT UPPDELAD INFORMATION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GEOGRAFISK UPPDELNING AV EXPONERING EFTER GÄLDENÄRENS HEMVIST: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EXPONERINGAR ENLIGT SCHABLONMETODEN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GEOGRAFISK UPPDELNING AV EXPONERING EFTER GÄLDENÄRENS HEMVIST: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EXPONERINGAR ENLIGT INTERNMETODEN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TABELL C 09.04 – UPPDELNING AV KREDITEXPONERINGAR SOM ÄR RELEVANTA FÖR BERÄKNINGEN AV DEN KONTRACYKLISKA BUFFERTEN PER LAND OCH INSTITUTSPECIFIKT KONTRACYKLISKT BUFFERTVÄRDE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KREDITRISK OCH MOTPARTSRISK OCH TRANSAKTIONER UTAN SAMTIDIG PRESTATION: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EXPONERINGAR ENLIGT INTERNMETODEN SOM OMFATTAS AV BESTÄMMELSER OM KAPITALGOLV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ALLMÄNNA KOMMENTARER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OCH C 10.02 – AKTIEEXPONERINGAR ENLIGT INTERNMETODEN (CR EQU IRB 1 OCH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AVSEENDE SÄRSKILDA POSITIONER (TILLÄMPLIGA FÖR BÅDE CR EQU IRB 1 OCH CR EQU IRB 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AVVECKLINGS-/LEVERANSRISK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– KREDITRISK – VÄRDEPAPPERISERING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DETALJERAD INFORMATION OM VÄRDEPAPPERISERING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SEC DETAILS-MALLENS RÄCKVIDD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 UPPDELNING I SEC DETAILS-MALLEN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 C 14.00 – DETALJERAD INFORMATION OM VÄRDEPAPPERISERING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DETALJERAD INFORMATION OM VÄRDEPAPPERISERING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MOTPARTSRISK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MOTPARTSRISKMALLARNAS RÄCKVIDD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– DERIVATVERKSAMHETENS STORLEK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– EXPONERINGAR MOT MOTPARTSRISKER PER METOD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EXPONERINGAR MOT MOTPARTSRISKER SOM BEHANDLAS ENLIGT SCHABLONMETODER: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OCH FÖRENKLAD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– EXPONERINGAR MOT MOTPARTSRISKER SOM BEHANDLAS ENLIGT DEN URSPRUNGLIGA ÅTAGANDEMETODEN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– EXPONERINGAR MOT MOTPARTSRISKER SOM BEHANDLAS ENLIGT METODEN MED INTERNA MODELLER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– DE TJUGO STÖRSTA MOTPARTERNA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– INTERNMETODEN – MOTPARTSRISKEXPONERINGAR PER EXPONERINGSKLASS OCH PD-SKALA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– SAMMANSÄTTNING AV SÄKERHETER FÖR MOTPARTSRISKEXPONERINGAR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– KREDITDERIVATEXPONERINGAR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– EXPONERINGAR MOT CENTRALA MOTPARTER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– FLÖDESANALYS FÖR RISKVÄGDA EXPONERINGSBELOPP FÖR MOTPARTSRISKEXPONERINGAR ENLIGT METODEN MED INTERNA MODELLER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MALLAR FÖR OPERATIV RISK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OPERATIV RISK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OPERATIV 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DETALJERAD INFORMATION OM FÖRLUSTER UNDER DET SENASTE ÅRET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OPERATIV RISK: FÖRLUSTER OCH ÅTERVINNINGAR PER AFFÄRSOMRÅDE OCH FÖRLUSTHÄNDELSETYP DET SENASTE ÅRET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OPERATIV 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DETALJERAD INFORMATION OM DE STÖRSTA FÖRLUSTHÄNDELSERNA UNDER DET SENASTE ÅRET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MALLAR FÖR MARKNADSRISKER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 FÖR POSITIONSRISKER I OMSATTA SKULDINSTRUMENT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 FÖR SPECIFIK RISK I VÄRDEPAPPERISERING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 FÖR SPECIFIK RISK FÖR POSITIONER I KORRELATIONSHANDELSPORTFÖLJ (MKR SA CTP))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 FÖR POSITIONSRISKER I AKTIER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SCHABLONMETODER FÖR VALUTAKURSRISK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– MARKNADSRISK: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SCHABLONMETODER FÖR RÅVAROR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– MARKNADSRISK: INTERNA MODELLER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KREDITVÄRDIGHETSJUSTERINGSRISK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FÖRSIKTIG VÄRDERING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32.01 - FÖRSIKTIG VÄRDERING: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TILLGÅNGAR OCH SKULDER REDOVISADE TILL VERKLIGT VÄRDE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32.02 - FÖRSIKTIG VÄRDERING: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HUVUDMETODEN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32.03 - FÖRSIKTIG VÄRDERING: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FÖR MODELLRISK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C 32.04 - FÖRSIKTIG VÄRDERING: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FÖR KONCENTRERADE POSITIONER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EXPONERINGAR MOT OFFENTLIG SEKTOR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TILLÄMPNINGSOMRÅDE FÖR MALLEN OM EXPONERINGAR MOT ”OFFENTLIG SEKTOR”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FÖRLUSTTÄCKNING FÖR NÖDLIDANDE EXPONERINGAR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BERÄKNING AV AVDRAG FÖR NÖDLIDANDE EXPONERINGAR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KRAV PÅ MINSTA TÄCKNING OCH EXPONERINGSVÄRDEN FÖR NÖDLIDANDE EXPONERINGAR, EXKLUSIVE EXPONERINGAR MED ANSTÅND SOM OMFATTAS AV ARTIKEL 47c.6 I FÖRORDNING (EU) NR 575/2013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KRAV PÅ MINSTA TÄCKNING OCH EXPONERINGSVÄRDEN FÖR NÖDLIDANDE EXPONERINGAR, MED ANSTÅND SOM OMFATTAS AV ARTIKEL 47c.6 I FÖRORDNING (EU) NR 575/2013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INSTRUKTIONER FÖR SPECIFIKA POSITIONER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TRÖSKELVÄRDEN FÖR HANDELSLAGER OCH MARKNADSRISK, GRÄNSEN MELLAN ”I HANDELSLAGRET” OCH ”UTANFÖR HANDELSLAGRET” OCH OMKLASSIFICERINGAR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 TRÖSKELVÄRDEN FÖR HANDELSLAGER OCH MARKNADSRISK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 GRÄNSEN MELLAN ”I HANDELSLAGRET” OCH ”UTANFÖR HANDELSLAGRET”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ALLMÄNNA KOMMENTARER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90.05 - GRÄNS: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 HANDELSLAGRET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 ALLMÄNNA KOMMENTARER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 INSTRUKTIONER FÖR SPECIFIKA POSITIONER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90.06 - GRÄNS: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UTANFÖR HANDELSLAGRET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 ALLMÄNNA KOMMENTARER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 – INSTRUKTIONER FÖR SPECIFIKA POSITIONER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24.01 - GRÄNS AVSEENDE HANDELSLAGRET - OMKLASSIFICERINGAR MELLAN TYP AV REGLERAD VERKSAMHET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EXPONERINGAR MOT KRYPTOTILLGÅNGAR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 ALLMÄNNA KOMMENTARER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 – INSTRUKTIONER FÖR SPECIFIKA POSITIONER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DEL I: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ALLMÄNNA INSTRUKTIONER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 OCH PRAXIS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Ramen omfattar som helhet sex områden: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kapitaltäckning, en översikt över lagstadgat kapital, totalt riskvägt exponeringsbelopp,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försiktig värdering,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förlusttäckning för nödlidande exponeringar,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solvens på gruppnivå, en översikt över hur solvenskraven uppfylls av samtliga enskilda enheter som ingår i konsolideringen av den rapporterande enheten,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kreditrisk (inbegripet motpartsrisk, utspädningsrisk och avvecklingsrisk),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marknadsrisk (inbegripet positionsrisk i handelslager, valutakursrisk, råvarurisk och kreditvärdighetsjusteringsrisk),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operativ risk,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(f) exponeringar mot offentlig sektor,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(g) exponeringar mot kryptotillgångar.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För varje mall ges hänvisningar till lagstiftningen.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Denna del av den här genomförandeförordningen innehåller utförligare information om de mer allmänna aspekterna på rapporteringen för varje grupp av mallar, instruktioner för specifika positioner samt valideringsregler.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Instituten ska endast rapportera de mallar som är relevanta för den metod de använder för att fastställa kapitalbaskraven.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Numrering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 dokumentet används beteckningssystemet enligt punkt 5-8 för hänvisningar till kolumner, rader och celler i mallarna.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I valideringsreglerna hänvisas ofta till dessa sifferkoder.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Följande allmänna beteckningssystem används i instruktionerna: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{mall;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rad;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kolumn}.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Vid validering inom en mall där man endast använder uppgiftsposter från den mallen anges inte mallen i beteckningen: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{rad;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kolumn}.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Om mallen bara har en kolumn, anges endast rader: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{mall;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rad}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En asterisk betyder att valideringen avser de rader eller kolumner som anges före den.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Tecken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Ett belopp som ökar kapitalbasen eller kapitalkraven ska rapporteras som en pluspost.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Ett belopp som däremot minskar den totala kapitalbasen eller de totala kapitalkraven ska rapporteras som en minuspost.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Om namnet på en post föregås av ett minustecken (-) förväntas inga positiva belopp rapporteras för den posten.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[tom]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ordinarie användning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ordinarie användning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ordinarie användning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sv-SE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sv-SE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sv-S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sv-SE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sv-S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sv-SE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sv-SE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sv-SE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sv-SE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sv-SE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sv-SE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sv-SE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v-SE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sv-SE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sv-SE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sv-SE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sv-SE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sv-SE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sv-SE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sv-SE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sv-SE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sv-SE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sv-SE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sv-SE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sv-SE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sv-SE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sv-SE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sv-SE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sv-SE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sv-SE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sv-SE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sv-SE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sv-SE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sv-SE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sv-SE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sv-SE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sv-SE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sv-SE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sv-S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sv-S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sv-S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sv-SE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CA6CF8-B229-4998-8E96-25F321EF0D3F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